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24" w:name="_GoBack"/>
      <w:bookmarkEnd w:id="24"/>
      <w:r>
        <w:drawing>
          <wp:inline distT="0" distB="0" distL="114300" distR="114300">
            <wp:extent cx="1393190" cy="461010"/>
            <wp:effectExtent l="0" t="0" r="381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480" w:lineRule="auto"/>
        <w:rPr>
          <w:rFonts w:hint="eastAsia" w:ascii="黑体" w:hAnsi="黑体" w:eastAsia="黑体"/>
          <w:sz w:val="48"/>
          <w:szCs w:val="48"/>
        </w:rPr>
      </w:pPr>
    </w:p>
    <w:p>
      <w:pPr>
        <w:spacing w:line="360" w:lineRule="auto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专业分流操作手册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教务处</w:t>
            </w:r>
          </w:p>
        </w:tc>
        <w:tc>
          <w:tcPr>
            <w:tcW w:w="1659" w:type="dxa"/>
            <w:vMerge w:val="continue"/>
            <w:noWrap w:val="0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titlePg/>
          <w:docGrid w:type="lines" w:linePitch="312" w:charSpace="0"/>
        </w:sectPr>
      </w:pPr>
    </w:p>
    <w:p>
      <w:pPr>
        <w:snapToGrid w:val="0"/>
        <w:spacing w:before="156" w:beforeLines="50" w:after="156" w:afterLines="50"/>
        <w:jc w:val="center"/>
        <w:rPr>
          <w:rFonts w:ascii="黑体" w:hAnsi="宋体" w:eastAsia="黑体"/>
          <w:b/>
          <w:bCs/>
          <w:sz w:val="32"/>
          <w:szCs w:val="32"/>
        </w:rPr>
      </w:pPr>
      <w:r>
        <w:rPr>
          <w:rFonts w:ascii="黑体" w:hAnsi="宋体" w:eastAsia="黑体"/>
          <w:b/>
          <w:bCs/>
          <w:sz w:val="32"/>
          <w:szCs w:val="32"/>
        </w:rPr>
        <w:t>版本记录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277"/>
        <w:gridCol w:w="992"/>
        <w:gridCol w:w="1135"/>
        <w:gridCol w:w="4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版本号</w:t>
            </w:r>
          </w:p>
        </w:tc>
        <w:tc>
          <w:tcPr>
            <w:tcW w:w="749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版本日期</w:t>
            </w:r>
          </w:p>
        </w:tc>
        <w:tc>
          <w:tcPr>
            <w:tcW w:w="582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hint="eastAsia"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修改</w:t>
            </w:r>
            <w:r>
              <w:rPr>
                <w:rFonts w:hint="eastAsia" w:ascii="Arial" w:hAnsi="宋体" w:cs="Arial"/>
                <w:b/>
                <w:sz w:val="20"/>
                <w:szCs w:val="20"/>
              </w:rPr>
              <w:t>人</w:t>
            </w:r>
          </w:p>
        </w:tc>
        <w:tc>
          <w:tcPr>
            <w:tcW w:w="666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hint="eastAsia" w:ascii="Arial" w:hAnsi="宋体" w:cs="Arial"/>
                <w:b/>
                <w:sz w:val="20"/>
                <w:szCs w:val="20"/>
              </w:rPr>
              <w:t>修改章节</w:t>
            </w:r>
          </w:p>
        </w:tc>
        <w:tc>
          <w:tcPr>
            <w:tcW w:w="2440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hint="eastAsia" w:ascii="Arial" w:hAnsi="宋体" w:cs="Arial"/>
                <w:b/>
                <w:sz w:val="20"/>
                <w:szCs w:val="20"/>
              </w:rPr>
              <w:t>修改记录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hint="eastAsia" w:ascii="Arial" w:hAnsi="Arial" w:cs="Arial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hint="eastAsia" w:ascii="宋体" w:hAnsi="宋体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宋体" w:hAnsi="宋体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3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noWrap w:val="0"/>
            <w:vAlign w:val="center"/>
          </w:tcPr>
          <w:p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>
      <w:pPr>
        <w:pStyle w:val="2"/>
        <w:outlineLvl w:val="9"/>
        <w:rPr>
          <w:rFonts w:ascii="宋体" w:hAnsi="宋体"/>
          <w:sz w:val="21"/>
          <w:szCs w:val="21"/>
          <w:lang w:val="zh-CN"/>
        </w:rPr>
        <w:sectPr>
          <w:headerReference r:id="rId5" w:type="first"/>
          <w:footerReference r:id="rId7" w:type="first"/>
          <w:headerReference r:id="rId4" w:type="default"/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2"/>
        <w:jc w:val="center"/>
        <w:rPr>
          <w:rFonts w:ascii="宋体" w:hAnsi="宋体"/>
          <w:sz w:val="21"/>
          <w:szCs w:val="21"/>
        </w:rPr>
      </w:pPr>
      <w:bookmarkStart w:id="0" w:name="_Toc18207"/>
      <w:bookmarkStart w:id="1" w:name="_Toc23850"/>
      <w:r>
        <w:rPr>
          <w:rFonts w:ascii="宋体" w:hAnsi="宋体"/>
          <w:sz w:val="21"/>
          <w:szCs w:val="21"/>
          <w:lang w:val="zh-CN"/>
        </w:rPr>
        <w:t>目</w:t>
      </w:r>
      <w:r>
        <w:rPr>
          <w:rFonts w:hint="eastAsia" w:ascii="宋体" w:hAnsi="宋体"/>
          <w:sz w:val="21"/>
          <w:szCs w:val="21"/>
          <w:lang w:val="zh-CN"/>
        </w:rPr>
        <w:t xml:space="preserve"> </w:t>
      </w:r>
      <w:r>
        <w:rPr>
          <w:rFonts w:ascii="宋体" w:hAnsi="宋体"/>
          <w:sz w:val="21"/>
          <w:szCs w:val="21"/>
          <w:lang w:val="zh-CN"/>
        </w:rPr>
        <w:t>录</w:t>
      </w:r>
      <w:bookmarkEnd w:id="0"/>
      <w:bookmarkEnd w:id="1"/>
    </w:p>
    <w:p>
      <w:pPr>
        <w:pStyle w:val="8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"1-3" \h \z \u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_Toc18207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  <w:lang w:val="zh-CN"/>
        </w:rPr>
        <w:t>目</w:t>
      </w:r>
      <w:r>
        <w:rPr>
          <w:rFonts w:hint="eastAsia" w:ascii="宋体" w:hAnsi="宋体"/>
          <w:szCs w:val="21"/>
          <w:lang w:val="zh-CN"/>
        </w:rPr>
        <w:t xml:space="preserve"> </w:t>
      </w:r>
      <w:r>
        <w:rPr>
          <w:rFonts w:ascii="宋体" w:hAnsi="宋体"/>
          <w:szCs w:val="21"/>
          <w:lang w:val="zh-CN"/>
        </w:rPr>
        <w:t>录</w:t>
      </w:r>
      <w:r>
        <w:tab/>
      </w:r>
      <w:r>
        <w:fldChar w:fldCharType="begin"/>
      </w:r>
      <w:r>
        <w:instrText xml:space="preserve"> PAGEREF _Toc18207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_Toc11990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1.1编写目的</w:t>
      </w:r>
      <w:r>
        <w:tab/>
      </w:r>
      <w:r>
        <w:fldChar w:fldCharType="begin"/>
      </w:r>
      <w:r>
        <w:instrText xml:space="preserve"> PAGEREF _Toc11990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_Toc23726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1.2 手册构成</w:t>
      </w:r>
      <w:r>
        <w:tab/>
      </w:r>
      <w:r>
        <w:fldChar w:fldCharType="begin"/>
      </w:r>
      <w:r>
        <w:instrText xml:space="preserve"> PAGEREF _Toc23726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_Toc4039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1.3 使用对象</w:t>
      </w:r>
      <w:r>
        <w:tab/>
      </w:r>
      <w:r>
        <w:fldChar w:fldCharType="begin"/>
      </w:r>
      <w:r>
        <w:instrText xml:space="preserve"> PAGEREF _Toc4039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_Toc8524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2 系统的启动与进入</w:t>
      </w:r>
      <w:r>
        <w:tab/>
      </w:r>
      <w:r>
        <w:fldChar w:fldCharType="begin"/>
      </w:r>
      <w:r>
        <w:instrText xml:space="preserve"> PAGEREF _Toc8524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_Toc2625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2.1 浏览器设置</w:t>
      </w:r>
      <w:r>
        <w:tab/>
      </w:r>
      <w:r>
        <w:fldChar w:fldCharType="begin"/>
      </w:r>
      <w:r>
        <w:instrText xml:space="preserve"> PAGEREF _Toc2625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_Toc23816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2.2 登录主页面</w:t>
      </w:r>
      <w:r>
        <w:tab/>
      </w:r>
      <w:r>
        <w:fldChar w:fldCharType="begin"/>
      </w:r>
      <w:r>
        <w:instrText xml:space="preserve"> PAGEREF _Toc23816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_Toc18741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 w:ascii="宋体" w:hAnsi="宋体"/>
          <w:szCs w:val="21"/>
        </w:rPr>
        <w:t>3 系统的使用</w:t>
      </w:r>
      <w:r>
        <w:tab/>
      </w:r>
      <w:r>
        <w:fldChar w:fldCharType="begin"/>
      </w:r>
      <w:r>
        <w:instrText xml:space="preserve"> PAGEREF _Toc18741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5"/>
        <w:tabs>
          <w:tab w:val="right" w:leader="dot" w:pos="8306"/>
          <w:tab w:val="clear" w:pos="8296"/>
        </w:tabs>
        <w:ind w:left="0" w:leftChars="0" w:firstLine="420" w:firstLineChars="200"/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_Toc28375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lang w:val="en-US" w:eastAsia="zh-CN"/>
        </w:rPr>
        <w:t>3.1 专业分流报名</w:t>
      </w:r>
      <w:r>
        <w:tab/>
      </w:r>
      <w:r>
        <w:fldChar w:fldCharType="begin"/>
      </w:r>
      <w:r>
        <w:instrText xml:space="preserve"> PAGEREF _Toc28375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>
      <w:pPr>
        <w:pStyle w:val="5"/>
        <w:tabs>
          <w:tab w:val="right" w:leader="dot" w:pos="8306"/>
          <w:tab w:val="clear" w:pos="8296"/>
        </w:tabs>
      </w:pPr>
    </w:p>
    <w:p>
      <w:pPr>
        <w:pStyle w:val="2"/>
        <w:spacing w:before="200" w:after="200" w:line="400" w:lineRule="exact"/>
        <w:outlineLvl w:val="9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end"/>
      </w:r>
      <w:bookmarkStart w:id="2" w:name="_Toc304827482"/>
      <w:bookmarkStart w:id="3" w:name="_Toc308092659"/>
      <w:bookmarkStart w:id="4" w:name="_Toc313440132"/>
    </w:p>
    <w:p>
      <w:pPr>
        <w:pStyle w:val="2"/>
        <w:spacing w:before="200" w:after="200" w:line="400" w:lineRule="exact"/>
        <w:outlineLvl w:val="9"/>
        <w:rPr>
          <w:rFonts w:hint="eastAsia" w:ascii="宋体" w:hAnsi="宋体"/>
          <w:sz w:val="21"/>
          <w:szCs w:val="21"/>
        </w:rPr>
        <w:sectPr>
          <w:footerReference r:id="rId8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2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5" w:name="_Toc4308"/>
      <w:r>
        <w:rPr>
          <w:rFonts w:hint="eastAsia" w:ascii="宋体" w:hAnsi="宋体"/>
          <w:sz w:val="21"/>
          <w:szCs w:val="21"/>
        </w:rPr>
        <w:t>1</w:t>
      </w:r>
      <w:bookmarkEnd w:id="2"/>
      <w:bookmarkEnd w:id="3"/>
      <w:r>
        <w:rPr>
          <w:rFonts w:hint="eastAsia" w:ascii="宋体" w:hAnsi="宋体"/>
          <w:sz w:val="21"/>
          <w:szCs w:val="21"/>
        </w:rPr>
        <w:t xml:space="preserve"> 阅读指南</w:t>
      </w:r>
      <w:bookmarkEnd w:id="4"/>
      <w:bookmarkEnd w:id="5"/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6" w:name="_Toc313440133"/>
      <w:bookmarkStart w:id="7" w:name="_Toc11990"/>
      <w:bookmarkStart w:id="8" w:name="_Toc308092660"/>
      <w:bookmarkStart w:id="9" w:name="_Toc304827483"/>
      <w:r>
        <w:rPr>
          <w:rFonts w:hint="eastAsia" w:ascii="宋体" w:hAnsi="宋体"/>
          <w:sz w:val="21"/>
          <w:szCs w:val="21"/>
        </w:rPr>
        <w:t>1.1编写目的</w:t>
      </w:r>
      <w:bookmarkEnd w:id="6"/>
      <w:bookmarkEnd w:id="7"/>
      <w:bookmarkEnd w:id="8"/>
      <w:bookmarkEnd w:id="9"/>
    </w:p>
    <w:p>
      <w:pPr>
        <w:pStyle w:val="13"/>
        <w:spacing w:line="40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本操作手册作为</w:t>
      </w:r>
      <w:r>
        <w:rPr>
          <w:rFonts w:hint="eastAsia" w:ascii="宋体" w:hAnsi="宋体"/>
          <w:szCs w:val="21"/>
          <w:lang w:val="en-US" w:eastAsia="zh-CN"/>
        </w:rPr>
        <w:t>学生</w:t>
      </w:r>
      <w:r>
        <w:rPr>
          <w:rFonts w:hint="eastAsia" w:ascii="宋体" w:hAnsi="宋体"/>
          <w:szCs w:val="21"/>
        </w:rPr>
        <w:t>使用专业分流时的速查手册用。</w:t>
      </w:r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0" w:name="_Toc23726"/>
      <w:bookmarkStart w:id="11" w:name="_Toc313440134"/>
      <w:r>
        <w:rPr>
          <w:rFonts w:hint="eastAsia" w:ascii="宋体" w:hAnsi="宋体"/>
          <w:sz w:val="21"/>
          <w:szCs w:val="21"/>
        </w:rPr>
        <w:t>1.2 手册构成</w:t>
      </w:r>
      <w:bookmarkEnd w:id="10"/>
      <w:bookmarkEnd w:id="11"/>
    </w:p>
    <w:p>
      <w:pPr>
        <w:pStyle w:val="13"/>
        <w:spacing w:line="400" w:lineRule="exac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本手册提供了专业分流分流</w:t>
      </w:r>
      <w:r>
        <w:rPr>
          <w:rFonts w:hint="eastAsia" w:ascii="宋体" w:hAnsi="宋体"/>
          <w:szCs w:val="21"/>
          <w:lang w:val="en-US" w:eastAsia="zh-CN"/>
        </w:rPr>
        <w:t>报名、调整志愿</w:t>
      </w:r>
      <w:r>
        <w:rPr>
          <w:rFonts w:hint="eastAsia" w:ascii="宋体" w:hAnsi="宋体"/>
          <w:szCs w:val="21"/>
        </w:rPr>
        <w:t>等操作。</w:t>
      </w:r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2" w:name="_Toc4039"/>
      <w:bookmarkStart w:id="13" w:name="_Toc313440135"/>
      <w:r>
        <w:rPr>
          <w:rFonts w:hint="eastAsia" w:ascii="宋体" w:hAnsi="宋体"/>
          <w:sz w:val="21"/>
          <w:szCs w:val="21"/>
        </w:rPr>
        <w:t>1.3 使用对象</w:t>
      </w:r>
      <w:bookmarkEnd w:id="12"/>
      <w:bookmarkEnd w:id="13"/>
    </w:p>
    <w:p>
      <w:pPr>
        <w:pStyle w:val="13"/>
        <w:ind w:left="840" w:firstLine="0" w:firstLineChars="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学生</w:t>
      </w:r>
      <w:r>
        <w:rPr>
          <w:rFonts w:hint="eastAsia" w:ascii="宋体" w:hAnsi="宋体"/>
          <w:szCs w:val="21"/>
        </w:rPr>
        <w:br w:type="page"/>
      </w:r>
    </w:p>
    <w:p>
      <w:pPr>
        <w:pStyle w:val="2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4" w:name="_Toc8524"/>
      <w:bookmarkStart w:id="15" w:name="_Toc313440139"/>
      <w:bookmarkStart w:id="16" w:name="_Toc1794"/>
      <w:r>
        <w:rPr>
          <w:rFonts w:hint="eastAsia" w:ascii="宋体" w:hAnsi="宋体"/>
          <w:sz w:val="21"/>
          <w:szCs w:val="21"/>
        </w:rPr>
        <w:t>2 系统的启动与进入</w:t>
      </w:r>
      <w:bookmarkEnd w:id="14"/>
      <w:bookmarkEnd w:id="15"/>
      <w:bookmarkEnd w:id="16"/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17" w:name="_Toc2625"/>
      <w:bookmarkStart w:id="18" w:name="_Toc313440140"/>
      <w:r>
        <w:rPr>
          <w:rFonts w:hint="eastAsia" w:ascii="宋体" w:hAnsi="宋体"/>
          <w:sz w:val="21"/>
          <w:szCs w:val="21"/>
        </w:rPr>
        <w:t>2.1 浏览器设置</w:t>
      </w:r>
      <w:bookmarkEnd w:id="17"/>
      <w:bookmarkEnd w:id="18"/>
    </w:p>
    <w:p>
      <w:pPr>
        <w:rPr>
          <w:rFonts w:hint="eastAsia"/>
        </w:rPr>
      </w:pPr>
      <w:bookmarkStart w:id="19" w:name="_Toc313440141"/>
      <w:r>
        <w:rPr>
          <w:rFonts w:hint="eastAsia"/>
        </w:rPr>
        <w:t>网上办事大厅只兼容使用 Chrome内核(版本50以上) 和 IE9及以上内核 的浏览器，推荐使用新版chrome浏览器或新版360极速浏览器</w:t>
      </w:r>
    </w:p>
    <w:p>
      <w:pPr>
        <w:pStyle w:val="3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20" w:name="_Toc23816"/>
      <w:r>
        <w:rPr>
          <w:rFonts w:hint="eastAsia" w:ascii="宋体" w:hAnsi="宋体"/>
          <w:sz w:val="21"/>
          <w:szCs w:val="21"/>
        </w:rPr>
        <w:t>2.2 登录主页面</w:t>
      </w:r>
      <w:bookmarkEnd w:id="19"/>
      <w:bookmarkEnd w:id="20"/>
    </w:p>
    <w:p>
      <w:pPr>
        <w:rPr>
          <w:rFonts w:hint="eastAsia"/>
        </w:rPr>
      </w:pPr>
      <w:r>
        <w:rPr>
          <w:rFonts w:hint="eastAsia"/>
        </w:rPr>
        <w:t>进入网上办事大厅：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2"/>
        </w:rPr>
        <w:t>http://ehall.seu.edu.cn</w:t>
      </w:r>
      <w:r>
        <w:fldChar w:fldCharType="end"/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输入账号密码登陆。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055" cy="2498725"/>
            <wp:effectExtent l="0" t="0" r="4445" b="3175"/>
            <wp:docPr id="2" name="图片 4" descr="15788828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157888281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br w:type="page"/>
      </w:r>
    </w:p>
    <w:p>
      <w:pPr>
        <w:pStyle w:val="2"/>
        <w:spacing w:before="200" w:after="200" w:line="400" w:lineRule="exact"/>
        <w:rPr>
          <w:rFonts w:hint="eastAsia" w:ascii="宋体" w:hAnsi="宋体"/>
          <w:sz w:val="21"/>
          <w:szCs w:val="21"/>
        </w:rPr>
      </w:pPr>
      <w:bookmarkStart w:id="21" w:name="_Toc18741"/>
      <w:bookmarkStart w:id="22" w:name="_Toc19812"/>
      <w:r>
        <w:rPr>
          <w:rFonts w:hint="eastAsia" w:ascii="宋体" w:hAnsi="宋体"/>
          <w:sz w:val="21"/>
          <w:szCs w:val="21"/>
        </w:rPr>
        <w:t>3 系统的使用</w:t>
      </w:r>
      <w:bookmarkEnd w:id="21"/>
      <w:bookmarkEnd w:id="22"/>
    </w:p>
    <w:p>
      <w:pPr>
        <w:pStyle w:val="4"/>
        <w:bidi w:val="0"/>
        <w:rPr>
          <w:rFonts w:hint="eastAsia"/>
          <w:lang w:val="en-US" w:eastAsia="zh-CN"/>
        </w:rPr>
      </w:pPr>
      <w:bookmarkStart w:id="23" w:name="_Toc28375"/>
      <w:r>
        <w:rPr>
          <w:rFonts w:hint="eastAsia"/>
          <w:lang w:val="en-US" w:eastAsia="zh-CN"/>
        </w:rPr>
        <w:t xml:space="preserve">3.1 </w:t>
      </w:r>
      <w:bookmarkEnd w:id="23"/>
      <w:r>
        <w:rPr>
          <w:rFonts w:hint="eastAsia"/>
          <w:lang w:val="en-US" w:eastAsia="zh-CN"/>
        </w:rPr>
        <w:t>专业分流报名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1、打开首页或服务，搜索专业分流应用进入</w:t>
      </w:r>
    </w:p>
    <w:p>
      <w:r>
        <w:drawing>
          <wp:inline distT="0" distB="0" distL="114300" distR="114300">
            <wp:extent cx="5265420" cy="2452370"/>
            <wp:effectExtent l="0" t="0" r="508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2、进入应用，根据开放的分流院系及专业调整报名志愿，进行志愿排序</w:t>
      </w:r>
    </w:p>
    <w:p>
      <w:r>
        <w:drawing>
          <wp:inline distT="0" distB="0" distL="114300" distR="114300">
            <wp:extent cx="5272405" cy="2185035"/>
            <wp:effectExtent l="0" t="0" r="1079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2353945"/>
            <wp:effectExtent l="0" t="0" r="635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3、点击暂存按钮，暂存成功后，仍可以再操作栏进行志愿排序。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注：到志愿填报截止日期，有填报记录且保存未点提交按钮的同学将默认自动提交。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4、点击提交按钮，核对无误后，点击继续，提交成功，提交成功后不可再修改志愿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505075"/>
            <wp:effectExtent l="0" t="0" r="762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</w:rPr>
      </w:pPr>
      <w:r>
        <w:br w:type="page"/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sectPr>
      <w:footerReference r:id="rId9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ixWE+tIBAACj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</w:p>
  <w:p>
    <w:pPr>
      <w:pStyle w:val="6"/>
      <w:jc w:val="both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10页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HNwfrNIBAACj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10页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</w:pPr>
    <w:r>
      <w:rPr>
        <w:rFonts w:hint="eastAsia"/>
      </w:rPr>
      <w:t>目  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</w:pPr>
    <w:r>
      <w:drawing>
        <wp:inline distT="0" distB="0" distL="114300" distR="114300">
          <wp:extent cx="753110" cy="248285"/>
          <wp:effectExtent l="0" t="0" r="8890" b="5715"/>
          <wp:docPr id="1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  <w:r>
      <w:rPr>
        <w:rFonts w:hint="eastAsia"/>
        <w:lang w:val="en-US" w:eastAsia="zh-CN"/>
      </w:rPr>
      <w:t>专业分流</w:t>
    </w:r>
    <w:r>
      <w:rPr>
        <w:rFonts w:hint="eastAsia" w:ascii="宋体" w:hAnsi="宋体"/>
      </w:rPr>
      <w:t>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hint="eastAsia"/>
      </w:rPr>
    </w:pPr>
    <w:r>
      <w:t xml:space="preserve"> </w:t>
    </w:r>
    <w:r>
      <w:drawing>
        <wp:inline distT="0" distB="0" distL="114300" distR="114300">
          <wp:extent cx="753110" cy="248285"/>
          <wp:effectExtent l="0" t="0" r="8890" b="5715"/>
          <wp:docPr id="1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rFonts w:hint="eastAsia"/>
      </w:rPr>
      <w:t>业</w:t>
    </w:r>
    <w:r>
      <w:t>务系统</w:t>
    </w:r>
    <w:r>
      <w:rPr>
        <w:rFonts w:hint="eastAsia"/>
      </w:rPr>
      <w:t>操作</w:t>
    </w:r>
    <w:r>
      <w:t>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iNWI1MmQ5NWM3NjE0NmVhNmFkYjBmYmFiM2Q0MTgifQ=="/>
  </w:docVars>
  <w:rsids>
    <w:rsidRoot w:val="14C7548E"/>
    <w:rsid w:val="14C7548E"/>
    <w:rsid w:val="1EA0038A"/>
    <w:rsid w:val="28A91622"/>
    <w:rsid w:val="603C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0" w:beforeLines="0" w:after="20" w:afterLines="0" w:line="416" w:lineRule="auto"/>
      <w:outlineLvl w:val="1"/>
    </w:pPr>
    <w:rPr>
      <w:rFonts w:ascii="Cambria" w:hAnsi="Cambria" w:eastAsia="宋体" w:cs="Times New Roman"/>
      <w:b/>
      <w:bCs/>
      <w:sz w:val="21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0" w:beforeLines="0" w:after="20" w:afterLines="0" w:line="416" w:lineRule="auto"/>
      <w:outlineLvl w:val="2"/>
    </w:pPr>
    <w:rPr>
      <w:rFonts w:ascii="Calibri" w:hAnsi="Calibri" w:eastAsia="宋体"/>
      <w:b/>
      <w:bCs/>
      <w:sz w:val="21"/>
      <w:szCs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tabs>
        <w:tab w:val="right" w:leader="dot" w:pos="8296"/>
      </w:tabs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qFormat/>
    <w:uiPriority w:val="99"/>
    <w:rPr>
      <w:color w:val="0000FF"/>
      <w:u w:val="single"/>
    </w:rPr>
  </w:style>
  <w:style w:type="paragraph" w:styleId="13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434</Words>
  <Characters>495</Characters>
  <Lines>0</Lines>
  <Paragraphs>0</Paragraphs>
  <TotalTime>133</TotalTime>
  <ScaleCrop>false</ScaleCrop>
  <LinksUpToDate>false</LinksUpToDate>
  <CharactersWithSpaces>528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2021-06-24T13:34:00Z</dcterms:created>
  <dc:creator>Administrator</dc:creator>
  <cp:lastModifiedBy>shadow·moon</cp:lastModifiedBy>
  <dcterms:modified xsi:type="dcterms:W3CDTF">2023-05-30T06:32:32Z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1F9C888E89C04754B22A96C3A25AE8F1_13</vt:lpwstr>
  </property>
</Properties>
</file>